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8F" w:rsidRDefault="008D6361" w:rsidP="00DF1452">
      <w:pPr>
        <w:pStyle w:val="Kop1"/>
        <w:spacing w:before="0"/>
      </w:pPr>
      <w:r w:rsidRPr="008D6361">
        <w:t>Addendum parkeerplan Korrewegwijk</w:t>
      </w:r>
    </w:p>
    <w:p w:rsidR="00DF1452" w:rsidRPr="00DF1452" w:rsidRDefault="00DF1452" w:rsidP="00DF1452">
      <w:pPr>
        <w:pStyle w:val="Geenafstand"/>
      </w:pPr>
    </w:p>
    <w:p w:rsidR="008D6361" w:rsidRDefault="008D6361" w:rsidP="004A5847">
      <w:pPr>
        <w:spacing w:after="0"/>
        <w:rPr>
          <w:rFonts w:ascii="Univers" w:eastAsiaTheme="majorEastAsia" w:hAnsi="Univers" w:cstheme="majorBidi"/>
          <w:color w:val="FF0000"/>
          <w:sz w:val="26"/>
          <w:szCs w:val="26"/>
        </w:rPr>
      </w:pPr>
      <w:r>
        <w:rPr>
          <w:rFonts w:ascii="Univers" w:eastAsiaTheme="majorEastAsia" w:hAnsi="Univers" w:cstheme="majorBidi"/>
          <w:color w:val="FF0000"/>
          <w:sz w:val="26"/>
          <w:szCs w:val="26"/>
        </w:rPr>
        <w:t>Aanleiding</w:t>
      </w:r>
    </w:p>
    <w:p w:rsidR="008D6361" w:rsidRDefault="008D6361" w:rsidP="008D6361">
      <w:pPr>
        <w:pStyle w:val="Geenafstand"/>
      </w:pPr>
      <w:r>
        <w:t>Op dinsdag 15 september heeft het college van B&amp;W het concept parkeerplan Korrewegwijk vastgesteld en vrijgegeven voor inspraak. In de conceptplan werd voorgesteld op reguliere tijden (maandag t/m zaterdag 9.00 uur-18.00 uur en donderdag tot 21.00 uur) betaald parkeren in te voeren in de Professorenbuurt-Oost. Dit voorstel was het resultaat van nauw overleg met het buurtoverleg Professorenbuurt-Oost. Uit een enquête bleek dat een kleine meerderheid voorstander was van een vorm van betaald parkeren.</w:t>
      </w:r>
    </w:p>
    <w:p w:rsidR="008D6361" w:rsidRDefault="008D6361" w:rsidP="008D6361">
      <w:pPr>
        <w:pStyle w:val="Geenafstand"/>
      </w:pPr>
    </w:p>
    <w:p w:rsidR="008D6361" w:rsidRPr="008D6361" w:rsidRDefault="008D6361" w:rsidP="008D6361">
      <w:pPr>
        <w:pStyle w:val="Geenafstand"/>
      </w:pPr>
      <w:r>
        <w:t>Uit de inspraak bleek dat veel bewoners hun twijfels hadden over de tijden waarop betaald parkeren geldt. Bewoners ervaren voornamelijk in de avond- en nachturen overlast</w:t>
      </w:r>
      <w:r w:rsidR="0025437A">
        <w:t xml:space="preserve"> en stelden voor de maatregel daar op aan te passen</w:t>
      </w:r>
      <w:r>
        <w:t xml:space="preserve">. </w:t>
      </w:r>
    </w:p>
    <w:p w:rsidR="008D6361" w:rsidRPr="008D6361" w:rsidRDefault="008D6361" w:rsidP="008D6361">
      <w:pPr>
        <w:pStyle w:val="Geenafstand"/>
      </w:pPr>
    </w:p>
    <w:p w:rsidR="008D6361" w:rsidRDefault="008D6361" w:rsidP="004A5847">
      <w:pPr>
        <w:spacing w:after="0"/>
        <w:rPr>
          <w:rFonts w:ascii="Univers" w:eastAsiaTheme="majorEastAsia" w:hAnsi="Univers" w:cstheme="majorBidi"/>
          <w:color w:val="FF0000"/>
          <w:sz w:val="26"/>
          <w:szCs w:val="26"/>
        </w:rPr>
      </w:pPr>
      <w:r>
        <w:rPr>
          <w:rFonts w:ascii="Univers" w:eastAsiaTheme="majorEastAsia" w:hAnsi="Univers" w:cstheme="majorBidi"/>
          <w:color w:val="FF0000"/>
          <w:sz w:val="26"/>
          <w:szCs w:val="26"/>
        </w:rPr>
        <w:t>Afweging</w:t>
      </w:r>
    </w:p>
    <w:p w:rsidR="00843830" w:rsidRDefault="0025437A" w:rsidP="008D6361">
      <w:pPr>
        <w:pStyle w:val="Geenafstand"/>
      </w:pPr>
      <w:r>
        <w:t>Wij willen maatwerk leveren</w:t>
      </w:r>
      <w:r w:rsidR="00843830">
        <w:t xml:space="preserve">. Door betaald parkeren in te voeren op andere tijden </w:t>
      </w:r>
      <w:r>
        <w:t>komen we tegemoet aan</w:t>
      </w:r>
      <w:r w:rsidR="00843830">
        <w:t xml:space="preserve"> de belangrijkste opmerkingen uit de inspraak. </w:t>
      </w:r>
      <w:r w:rsidR="00843830" w:rsidRPr="00843830">
        <w:t xml:space="preserve">Aanpassing van venstertijden </w:t>
      </w:r>
      <w:r w:rsidR="003301B8">
        <w:t>leidt to</w:t>
      </w:r>
      <w:r w:rsidR="00843830" w:rsidRPr="00843830">
        <w:t>t een lappendeken aan regimes en minder begrijpelijkheid voor de weggebruiker</w:t>
      </w:r>
      <w:r>
        <w:t xml:space="preserve">. Het leidt echter ook tot </w:t>
      </w:r>
      <w:r w:rsidR="00843830" w:rsidRPr="00843830">
        <w:t xml:space="preserve">meer draagvlak </w:t>
      </w:r>
      <w:r>
        <w:t>onder bewoners en dat vinden wij belangrijk bij invoering van maatregelen</w:t>
      </w:r>
      <w:r w:rsidR="00843830" w:rsidRPr="00843830">
        <w:t>.</w:t>
      </w:r>
    </w:p>
    <w:p w:rsidR="00843830" w:rsidRDefault="00843830" w:rsidP="008D6361">
      <w:pPr>
        <w:pStyle w:val="Geenafstand"/>
      </w:pPr>
    </w:p>
    <w:p w:rsidR="00843830" w:rsidRDefault="00843830" w:rsidP="008D6361">
      <w:pPr>
        <w:pStyle w:val="Geenafstand"/>
      </w:pPr>
      <w:r>
        <w:t>De opties die zijn afgewogen, zijn de volgende:</w:t>
      </w:r>
    </w:p>
    <w:p w:rsidR="00843830" w:rsidRDefault="00843830" w:rsidP="00843830">
      <w:pPr>
        <w:pStyle w:val="Geenafstand"/>
        <w:numPr>
          <w:ilvl w:val="0"/>
          <w:numId w:val="1"/>
        </w:numPr>
      </w:pPr>
      <w:r>
        <w:t>Standaardregime (maandag t/m zaterdag 9.00 uur-18.00 uur, donderdag tot 21.00)</w:t>
      </w:r>
    </w:p>
    <w:p w:rsidR="00843830" w:rsidRDefault="00843830" w:rsidP="00843830">
      <w:pPr>
        <w:pStyle w:val="Geenafstand"/>
        <w:numPr>
          <w:ilvl w:val="0"/>
          <w:numId w:val="1"/>
        </w:numPr>
      </w:pPr>
      <w:r>
        <w:t>Nachtregime</w:t>
      </w:r>
    </w:p>
    <w:p w:rsidR="00843830" w:rsidRDefault="00843830" w:rsidP="00843830">
      <w:pPr>
        <w:pStyle w:val="Geenafstand"/>
        <w:numPr>
          <w:ilvl w:val="0"/>
          <w:numId w:val="1"/>
        </w:numPr>
      </w:pPr>
      <w:r>
        <w:t xml:space="preserve">Regime </w:t>
      </w:r>
      <w:r w:rsidR="004A5847">
        <w:t>tussen 9.00 en 22.00 uur</w:t>
      </w:r>
      <w:r>
        <w:t>/0.00 uur</w:t>
      </w:r>
    </w:p>
    <w:p w:rsidR="009A7500" w:rsidRDefault="00843830" w:rsidP="009A7500">
      <w:pPr>
        <w:pStyle w:val="Geenafstand"/>
        <w:numPr>
          <w:ilvl w:val="0"/>
          <w:numId w:val="1"/>
        </w:numPr>
      </w:pPr>
      <w:r>
        <w:t>Regi</w:t>
      </w:r>
      <w:r w:rsidR="009A7500">
        <w:t>me tussen 6.00 uur en 11.00 uur</w:t>
      </w:r>
    </w:p>
    <w:p w:rsidR="00843830" w:rsidRDefault="009A7500" w:rsidP="00843830">
      <w:pPr>
        <w:pStyle w:val="Geenafstand"/>
        <w:numPr>
          <w:ilvl w:val="0"/>
          <w:numId w:val="1"/>
        </w:numPr>
      </w:pPr>
      <w:r>
        <w:t>Regime vanaf 17.00 uur</w:t>
      </w:r>
    </w:p>
    <w:p w:rsidR="00843830" w:rsidRDefault="00843830" w:rsidP="00843830">
      <w:pPr>
        <w:pStyle w:val="Geenafstand"/>
        <w:numPr>
          <w:ilvl w:val="0"/>
          <w:numId w:val="1"/>
        </w:numPr>
      </w:pPr>
      <w:r>
        <w:t>Regim</w:t>
      </w:r>
      <w:r w:rsidR="009A7500">
        <w:t>e tussen 16.00 uur en 22.00 uur</w:t>
      </w:r>
    </w:p>
    <w:p w:rsidR="004A5847" w:rsidRDefault="004A5847" w:rsidP="004A5847">
      <w:pPr>
        <w:pStyle w:val="Geenafstand"/>
      </w:pPr>
    </w:p>
    <w:p w:rsidR="004A5847" w:rsidRDefault="004A5847" w:rsidP="004A5847">
      <w:pPr>
        <w:pStyle w:val="Geenafstand"/>
      </w:pPr>
      <w:r>
        <w:t>Deze opties zijn gewogen op basis van verschillende criteria:</w:t>
      </w:r>
    </w:p>
    <w:tbl>
      <w:tblPr>
        <w:tblStyle w:val="Tabelraster"/>
        <w:tblW w:w="963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5"/>
        <w:gridCol w:w="1288"/>
        <w:gridCol w:w="980"/>
        <w:gridCol w:w="1134"/>
        <w:gridCol w:w="1134"/>
        <w:gridCol w:w="1134"/>
        <w:gridCol w:w="1134"/>
      </w:tblGrid>
      <w:tr w:rsidR="004A5847" w:rsidRPr="0041024B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  <w:jc w:val="right"/>
              <w:rPr>
                <w:b/>
              </w:rPr>
            </w:pPr>
            <w:r w:rsidRPr="004A5847">
              <w:rPr>
                <w:b/>
              </w:rPr>
              <w:t>Opties tijdvenster</w:t>
            </w:r>
          </w:p>
          <w:p w:rsidR="004A5847" w:rsidRPr="004A5847" w:rsidRDefault="004A5847" w:rsidP="002F1963">
            <w:pPr>
              <w:pStyle w:val="Geenafstand"/>
              <w:rPr>
                <w:b/>
              </w:rPr>
            </w:pPr>
          </w:p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Criteria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9.00-18.00 (regulier)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Nacht-regime</w:t>
            </w:r>
          </w:p>
        </w:tc>
        <w:tc>
          <w:tcPr>
            <w:tcW w:w="1134" w:type="dxa"/>
          </w:tcPr>
          <w:p w:rsidR="004A5847" w:rsidRPr="004A5847" w:rsidRDefault="003301B8" w:rsidP="002F196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Tot 22.00/ </w:t>
            </w:r>
            <w:bookmarkStart w:id="0" w:name="_GoBack"/>
            <w:bookmarkEnd w:id="0"/>
            <w:r w:rsidR="004A5847" w:rsidRPr="004A5847">
              <w:rPr>
                <w:b/>
              </w:rPr>
              <w:t>0.00u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6.00-11.00u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Vanaf 17.00u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16.00-</w:t>
            </w:r>
          </w:p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22.00u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Weren ‘buurtburen’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Weren forenzen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Vriendelijkheid bezoekers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Handhaafbaarheid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Aansluiten op inspraak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+</w:t>
            </w:r>
          </w:p>
        </w:tc>
      </w:tr>
      <w:tr w:rsid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Exploitatie parkeerbedrijf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0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</w:pPr>
            <w:r w:rsidRPr="004A5847">
              <w:t>-</w:t>
            </w:r>
          </w:p>
        </w:tc>
      </w:tr>
      <w:tr w:rsidR="004A5847" w:rsidRPr="004A5847" w:rsidTr="002F1963">
        <w:tc>
          <w:tcPr>
            <w:tcW w:w="2835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Totaal</w:t>
            </w:r>
          </w:p>
        </w:tc>
        <w:tc>
          <w:tcPr>
            <w:tcW w:w="1288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+++/0/--</w:t>
            </w:r>
          </w:p>
        </w:tc>
        <w:tc>
          <w:tcPr>
            <w:tcW w:w="980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+++/---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++++/--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+++/---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++++/--</w:t>
            </w:r>
          </w:p>
        </w:tc>
        <w:tc>
          <w:tcPr>
            <w:tcW w:w="1134" w:type="dxa"/>
          </w:tcPr>
          <w:p w:rsidR="004A5847" w:rsidRPr="004A5847" w:rsidRDefault="004A5847" w:rsidP="002F1963">
            <w:pPr>
              <w:pStyle w:val="Geenafstand"/>
              <w:rPr>
                <w:b/>
              </w:rPr>
            </w:pPr>
            <w:r w:rsidRPr="004A5847">
              <w:rPr>
                <w:b/>
              </w:rPr>
              <w:t>++++/-</w:t>
            </w:r>
          </w:p>
        </w:tc>
      </w:tr>
    </w:tbl>
    <w:p w:rsidR="004A5847" w:rsidRDefault="004A5847" w:rsidP="004A5847">
      <w:pPr>
        <w:pStyle w:val="Geenafstand"/>
      </w:pPr>
    </w:p>
    <w:p w:rsidR="004A5847" w:rsidRDefault="004A5847" w:rsidP="004A5847">
      <w:pPr>
        <w:pStyle w:val="Geenafstand"/>
      </w:pPr>
      <w:r>
        <w:t>Uit deze weging komt het tijdvenster tussen 16.00 uur en 22.00 uur als beste naar voren.</w:t>
      </w:r>
    </w:p>
    <w:p w:rsidR="008D6361" w:rsidRDefault="008D6361" w:rsidP="008D6361">
      <w:pPr>
        <w:pStyle w:val="Geenafstand"/>
      </w:pPr>
    </w:p>
    <w:p w:rsidR="008D6361" w:rsidRDefault="008D6361" w:rsidP="004A5847">
      <w:pPr>
        <w:spacing w:after="0"/>
        <w:rPr>
          <w:rFonts w:ascii="Univers" w:eastAsiaTheme="majorEastAsia" w:hAnsi="Univers" w:cstheme="majorBidi"/>
          <w:color w:val="FF0000"/>
          <w:sz w:val="26"/>
          <w:szCs w:val="26"/>
        </w:rPr>
      </w:pPr>
      <w:r>
        <w:rPr>
          <w:rFonts w:ascii="Univers" w:eastAsiaTheme="majorEastAsia" w:hAnsi="Univers" w:cstheme="majorBidi"/>
          <w:color w:val="FF0000"/>
          <w:sz w:val="26"/>
          <w:szCs w:val="26"/>
        </w:rPr>
        <w:t>Voorgenomen besluit</w:t>
      </w:r>
    </w:p>
    <w:p w:rsidR="004A5847" w:rsidRDefault="004A5847" w:rsidP="004A5847">
      <w:pPr>
        <w:pStyle w:val="Geenafstand"/>
      </w:pPr>
      <w:r>
        <w:t>Het college stelt voor:</w:t>
      </w:r>
    </w:p>
    <w:p w:rsidR="004A5847" w:rsidRDefault="004A5847" w:rsidP="004A5847">
      <w:pPr>
        <w:pStyle w:val="Geenafstand"/>
        <w:numPr>
          <w:ilvl w:val="0"/>
          <w:numId w:val="2"/>
        </w:numPr>
      </w:pPr>
      <w:r>
        <w:t>Het bewonersinitiatief, gericht op autodelen, te ondersteunen;</w:t>
      </w:r>
    </w:p>
    <w:p w:rsidR="004A5847" w:rsidRDefault="004A5847" w:rsidP="004A5847">
      <w:pPr>
        <w:pStyle w:val="Geenafstand"/>
        <w:numPr>
          <w:ilvl w:val="0"/>
          <w:numId w:val="2"/>
        </w:numPr>
      </w:pPr>
      <w:r>
        <w:t>Betaald parkeren in te voeren in de Professorenbuurt-Oost, op maandag tot en met zaterdag tussen 16.00 uur en 22.00 uur.</w:t>
      </w:r>
    </w:p>
    <w:p w:rsidR="004A5847" w:rsidRDefault="004A5847" w:rsidP="004A5847">
      <w:pPr>
        <w:pStyle w:val="Geenafstand"/>
      </w:pPr>
      <w:r>
        <w:t xml:space="preserve"> </w:t>
      </w:r>
    </w:p>
    <w:sectPr w:rsidR="004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20B05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502"/>
    <w:multiLevelType w:val="hybridMultilevel"/>
    <w:tmpl w:val="A250650E"/>
    <w:lvl w:ilvl="0" w:tplc="C3A0674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5C2B"/>
    <w:multiLevelType w:val="hybridMultilevel"/>
    <w:tmpl w:val="42CE5C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1"/>
    <w:rsid w:val="0025437A"/>
    <w:rsid w:val="003301B8"/>
    <w:rsid w:val="004A5847"/>
    <w:rsid w:val="00843830"/>
    <w:rsid w:val="008D6361"/>
    <w:rsid w:val="0097338F"/>
    <w:rsid w:val="009A7500"/>
    <w:rsid w:val="00D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AF30"/>
  <w15:chartTrackingRefBased/>
  <w15:docId w15:val="{520EA3CF-11CE-446F-8D94-50CBA89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6361"/>
    <w:pPr>
      <w:keepNext/>
      <w:keepLines/>
      <w:spacing w:before="240" w:after="0"/>
      <w:outlineLvl w:val="0"/>
    </w:pPr>
    <w:rPr>
      <w:rFonts w:ascii="Univers" w:eastAsiaTheme="majorEastAsia" w:hAnsi="Univers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6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6361"/>
    <w:rPr>
      <w:rFonts w:ascii="Univers" w:eastAsiaTheme="majorEastAsia" w:hAnsi="Univers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D6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8D6361"/>
    <w:pPr>
      <w:spacing w:after="0" w:line="240" w:lineRule="auto"/>
    </w:pPr>
    <w:rPr>
      <w:rFonts w:ascii="Univers" w:hAnsi="Univers"/>
    </w:rPr>
  </w:style>
  <w:style w:type="table" w:styleId="Tabelraster">
    <w:name w:val="Table Grid"/>
    <w:basedOn w:val="Standaardtabel"/>
    <w:uiPriority w:val="59"/>
    <w:rsid w:val="004A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1C7096A7</Template>
  <TotalTime>1</TotalTime>
  <Pages>1</Pages>
  <Words>339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Terpstra</dc:creator>
  <cp:keywords/>
  <dc:description/>
  <cp:lastModifiedBy>Arjen Terpstra</cp:lastModifiedBy>
  <cp:revision>2</cp:revision>
  <dcterms:created xsi:type="dcterms:W3CDTF">2017-02-14T14:16:00Z</dcterms:created>
  <dcterms:modified xsi:type="dcterms:W3CDTF">2017-02-14T14:16:00Z</dcterms:modified>
</cp:coreProperties>
</file>